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A4" w:rsidRPr="00D90819" w:rsidRDefault="005754A4">
      <w:pPr>
        <w:pStyle w:val="Default"/>
        <w:rPr>
          <w:rFonts w:ascii="Cambria" w:hAnsi="Cambria" w:cs="Cambria"/>
          <w:sz w:val="22"/>
          <w:szCs w:val="22"/>
        </w:rPr>
      </w:pPr>
    </w:p>
    <w:p w:rsidR="005754A4" w:rsidRPr="00D90819" w:rsidRDefault="005754A4">
      <w:pPr>
        <w:pStyle w:val="Heading2"/>
        <w:ind w:left="7080"/>
        <w:rPr>
          <w:sz w:val="22"/>
          <w:szCs w:val="22"/>
        </w:rPr>
      </w:pPr>
      <w:r w:rsidRPr="00D90819">
        <w:rPr>
          <w:sz w:val="22"/>
          <w:szCs w:val="22"/>
        </w:rPr>
        <w:t>Załącznik II.1</w:t>
      </w:r>
    </w:p>
    <w:p w:rsidR="005754A4" w:rsidRPr="00D90819" w:rsidRDefault="005754A4">
      <w:pPr>
        <w:pStyle w:val="Heading2"/>
        <w:rPr>
          <w:sz w:val="22"/>
          <w:szCs w:val="22"/>
        </w:rPr>
      </w:pPr>
    </w:p>
    <w:p w:rsidR="005754A4" w:rsidRPr="00D90819" w:rsidRDefault="005754A4">
      <w:pPr>
        <w:pStyle w:val="Heading2"/>
        <w:rPr>
          <w:color w:val="FF0000"/>
          <w:sz w:val="22"/>
          <w:szCs w:val="22"/>
        </w:rPr>
      </w:pPr>
      <w:r w:rsidRPr="00D90819">
        <w:rPr>
          <w:sz w:val="22"/>
          <w:szCs w:val="22"/>
        </w:rPr>
        <w:t>1.3. Karta modułu/przedmiotu</w:t>
      </w:r>
      <w:r w:rsidRPr="00D90819">
        <w:rPr>
          <w:sz w:val="22"/>
          <w:szCs w:val="22"/>
        </w:rPr>
        <w:tab/>
      </w:r>
      <w:r w:rsidRPr="00D90819">
        <w:rPr>
          <w:sz w:val="22"/>
          <w:szCs w:val="22"/>
        </w:rPr>
        <w:tab/>
      </w:r>
      <w:r w:rsidRPr="00D90819">
        <w:rPr>
          <w:sz w:val="22"/>
          <w:szCs w:val="22"/>
        </w:rPr>
        <w:tab/>
      </w:r>
      <w:r w:rsidRPr="00D90819">
        <w:rPr>
          <w:sz w:val="22"/>
          <w:szCs w:val="22"/>
        </w:rPr>
        <w:tab/>
      </w:r>
      <w:r w:rsidRPr="00D90819">
        <w:rPr>
          <w:sz w:val="22"/>
          <w:szCs w:val="22"/>
        </w:rPr>
        <w:tab/>
      </w:r>
      <w:r w:rsidRPr="00D90819">
        <w:rPr>
          <w:sz w:val="22"/>
          <w:szCs w:val="22"/>
        </w:rPr>
        <w:tab/>
      </w:r>
      <w:r w:rsidRPr="00D90819">
        <w:rPr>
          <w:sz w:val="22"/>
          <w:szCs w:val="22"/>
        </w:rPr>
        <w:tab/>
      </w:r>
    </w:p>
    <w:p w:rsidR="005754A4" w:rsidRPr="00D90819" w:rsidRDefault="005754A4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729"/>
        <w:gridCol w:w="454"/>
        <w:gridCol w:w="1464"/>
        <w:gridCol w:w="1253"/>
      </w:tblGrid>
      <w:tr w:rsidR="005754A4" w:rsidRPr="00D9081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754A4" w:rsidRPr="00D90819" w:rsidRDefault="005754A4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 w:rsidP="00FC6BB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Formy kultury popularnej  </w:t>
            </w:r>
            <w:r w:rsidRPr="00634CD8">
              <w:rPr>
                <w:rFonts w:ascii="Cambria" w:hAnsi="Cambria" w:cs="Cambria"/>
                <w:b/>
                <w:bCs/>
                <w:sz w:val="22"/>
                <w:szCs w:val="22"/>
              </w:rPr>
              <w:t>–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analiza tekstów kultury popularnej.</w:t>
            </w:r>
          </w:p>
          <w:p w:rsidR="005754A4" w:rsidRPr="00D90819" w:rsidRDefault="005754A4" w:rsidP="00B46E0F">
            <w:pPr>
              <w:pStyle w:val="ListParagraph"/>
              <w:spacing w:after="200" w:line="276" w:lineRule="auto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5754A4" w:rsidRPr="00D9081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754A4" w:rsidRPr="00D90819" w:rsidRDefault="005754A4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5754A4" w:rsidRPr="00D90819" w:rsidRDefault="005754A4" w:rsidP="00FC6BB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Formy kultury popularnej – analiza tekstów kultury popularnej.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5754A4" w:rsidRPr="00D90819" w:rsidRDefault="005754A4" w:rsidP="00FC6BB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5754A4" w:rsidRPr="00D90819">
        <w:trPr>
          <w:cantSplit/>
        </w:trPr>
        <w:tc>
          <w:tcPr>
            <w:tcW w:w="497" w:type="dxa"/>
            <w:vMerge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Instytut Pedagogiczno-Językowy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5754A4" w:rsidRPr="00D90819">
        <w:trPr>
          <w:cantSplit/>
        </w:trPr>
        <w:tc>
          <w:tcPr>
            <w:tcW w:w="497" w:type="dxa"/>
            <w:vMerge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Nazwa kierunku: 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5754A4" w:rsidRPr="00D90819">
        <w:trPr>
          <w:cantSplit/>
        </w:trPr>
        <w:tc>
          <w:tcPr>
            <w:tcW w:w="497" w:type="dxa"/>
            <w:vMerge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5754A4" w:rsidRPr="00D90819" w:rsidRDefault="005754A4" w:rsidP="00531B7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 – nauczycielska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/ filologiczna obsługa biznesu</w:t>
            </w:r>
          </w:p>
          <w:p w:rsidR="005754A4" w:rsidRPr="00D90819" w:rsidRDefault="005754A4" w:rsidP="00531B7B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rPr>
          <w:cantSplit/>
        </w:trPr>
        <w:tc>
          <w:tcPr>
            <w:tcW w:w="497" w:type="dxa"/>
            <w:vMerge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II / 4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(profil dowolny)</w:t>
            </w:r>
          </w:p>
        </w:tc>
        <w:tc>
          <w:tcPr>
            <w:tcW w:w="3171" w:type="dxa"/>
            <w:gridSpan w:val="3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5754A4" w:rsidRPr="00D90819">
        <w:trPr>
          <w:cantSplit/>
        </w:trPr>
        <w:tc>
          <w:tcPr>
            <w:tcW w:w="497" w:type="dxa"/>
            <w:vMerge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464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253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D90819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5754A4" w:rsidRPr="00D90819">
        <w:trPr>
          <w:cantSplit/>
        </w:trPr>
        <w:tc>
          <w:tcPr>
            <w:tcW w:w="497" w:type="dxa"/>
            <w:vMerge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39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464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253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5754A4" w:rsidRPr="00D90819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8"/>
            <w:tcBorders>
              <w:top w:val="single" w:sz="12" w:space="0" w:color="auto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dr Mariusz Kraska</w:t>
            </w:r>
          </w:p>
        </w:tc>
      </w:tr>
      <w:tr w:rsidR="005754A4" w:rsidRPr="00D90819">
        <w:tc>
          <w:tcPr>
            <w:tcW w:w="2988" w:type="dxa"/>
            <w:gridSpan w:val="3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dr Mariusz Kraska</w:t>
            </w:r>
          </w:p>
        </w:tc>
      </w:tr>
      <w:tr w:rsidR="005754A4" w:rsidRPr="00D90819">
        <w:tc>
          <w:tcPr>
            <w:tcW w:w="2988" w:type="dxa"/>
            <w:gridSpan w:val="3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8"/>
            <w:vAlign w:val="center"/>
          </w:tcPr>
          <w:p w:rsidR="005754A4" w:rsidRPr="00D90819" w:rsidRDefault="005754A4" w:rsidP="00A37B4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 w:rsidP="00A37B48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 w:rsidP="00A37B48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Zapoznanie studentów ze współczesnymi teoriami kultury popularnej; prezentacja cech dystynktywnych kultury popularnej; Przedstawienie metod badania zjawisk kultury popularnej i praktyczne ich zastosowanie w analizie i interpretacji wybranych tekstów.</w:t>
            </w:r>
          </w:p>
          <w:p w:rsidR="005754A4" w:rsidRPr="00D90819" w:rsidRDefault="005754A4" w:rsidP="00A37B48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gridSpan w:val="8"/>
            <w:tcBorders>
              <w:bottom w:val="single" w:sz="12" w:space="0" w:color="auto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Student posiada wiedzę zdobytą podczas zajęć z poetyki i teorii literatury oraz analizy tekstów kultury.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:rsidR="005754A4" w:rsidRPr="00D90819" w:rsidRDefault="005754A4">
      <w:pPr>
        <w:rPr>
          <w:rFonts w:ascii="Cambria" w:hAnsi="Cambria" w:cs="Cambria"/>
          <w:sz w:val="22"/>
          <w:szCs w:val="22"/>
        </w:rPr>
      </w:pPr>
    </w:p>
    <w:p w:rsidR="005754A4" w:rsidRPr="00D90819" w:rsidRDefault="005754A4">
      <w:pPr>
        <w:rPr>
          <w:rFonts w:ascii="Cambria" w:hAnsi="Cambria" w:cs="Cambria"/>
          <w:sz w:val="22"/>
          <w:szCs w:val="22"/>
        </w:rPr>
      </w:pPr>
    </w:p>
    <w:p w:rsidR="005754A4" w:rsidRPr="00D90819" w:rsidRDefault="005754A4">
      <w:pPr>
        <w:rPr>
          <w:rFonts w:ascii="Cambria" w:hAnsi="Cambria" w:cs="Cambria"/>
          <w:sz w:val="22"/>
          <w:szCs w:val="22"/>
        </w:rPr>
      </w:pPr>
    </w:p>
    <w:p w:rsidR="005754A4" w:rsidRPr="00D90819" w:rsidRDefault="005754A4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2275"/>
        <w:gridCol w:w="3485"/>
        <w:gridCol w:w="400"/>
        <w:gridCol w:w="1400"/>
      </w:tblGrid>
      <w:tr w:rsidR="005754A4" w:rsidRPr="00D90819">
        <w:trPr>
          <w:cantSplit/>
        </w:trPr>
        <w:tc>
          <w:tcPr>
            <w:tcW w:w="10008" w:type="dxa"/>
            <w:gridSpan w:val="7"/>
            <w:tcBorders>
              <w:top w:val="single" w:sz="12" w:space="0" w:color="auto"/>
              <w:bottom w:val="nil"/>
            </w:tcBorders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5754A4" w:rsidRPr="00D90819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gridSpan w:val="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kierunku</w:t>
            </w:r>
          </w:p>
        </w:tc>
      </w:tr>
      <w:tr w:rsidR="005754A4" w:rsidRPr="00D90819">
        <w:trPr>
          <w:cantSplit/>
        </w:trPr>
        <w:tc>
          <w:tcPr>
            <w:tcW w:w="908" w:type="dxa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5754A4" w:rsidRPr="00D90819" w:rsidRDefault="005754A4" w:rsidP="00C95D69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Student w stopniu ogólnym rozróżnia i opisuje współczesne teorie i metody badania literatury i kultury popularnej.</w:t>
            </w:r>
          </w:p>
        </w:tc>
        <w:tc>
          <w:tcPr>
            <w:tcW w:w="1400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K_W03</w:t>
            </w:r>
          </w:p>
        </w:tc>
      </w:tr>
      <w:tr w:rsidR="005754A4" w:rsidRPr="00D90819">
        <w:trPr>
          <w:cantSplit/>
        </w:trPr>
        <w:tc>
          <w:tcPr>
            <w:tcW w:w="908" w:type="dxa"/>
            <w:vAlign w:val="center"/>
          </w:tcPr>
          <w:p w:rsidR="005754A4" w:rsidRPr="00D90819" w:rsidRDefault="005754A4" w:rsidP="00657EAD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5754A4" w:rsidRPr="00D90819" w:rsidRDefault="005754A4" w:rsidP="00C95D69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Student samodzielnie wybiera i wykorzystuje do analizy, interpretacji i oceny różne metody badania tekstów literatury i kultury popularnej.</w:t>
            </w:r>
          </w:p>
        </w:tc>
        <w:tc>
          <w:tcPr>
            <w:tcW w:w="1400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K_W07</w:t>
            </w:r>
          </w:p>
        </w:tc>
      </w:tr>
      <w:tr w:rsidR="005754A4" w:rsidRPr="00D90819">
        <w:trPr>
          <w:cantSplit/>
        </w:trPr>
        <w:tc>
          <w:tcPr>
            <w:tcW w:w="908" w:type="dxa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5754A4" w:rsidRPr="00D90819" w:rsidRDefault="005754A4" w:rsidP="00C95D69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Student potrafi rozpoznać i zanalizować podstawowe problemy z zakresu badań nad literaturą i kulturą popularną.</w:t>
            </w:r>
          </w:p>
        </w:tc>
        <w:tc>
          <w:tcPr>
            <w:tcW w:w="1400" w:type="dxa"/>
            <w:vAlign w:val="center"/>
          </w:tcPr>
          <w:p w:rsidR="005754A4" w:rsidRPr="00D90819" w:rsidRDefault="005754A4" w:rsidP="00657EA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K_U04</w:t>
            </w:r>
          </w:p>
        </w:tc>
      </w:tr>
      <w:tr w:rsidR="005754A4" w:rsidRPr="00D90819">
        <w:trPr>
          <w:cantSplit/>
        </w:trPr>
        <w:tc>
          <w:tcPr>
            <w:tcW w:w="908" w:type="dxa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5754A4" w:rsidRPr="00D90819" w:rsidRDefault="005754A4" w:rsidP="00A85891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Student umie dokonać analizy i interpretacji oraz na ich podstawie ocenić utwory literackie i inne teksty kultury popularnej, wykorzystując stosowne instrumenty badawcze.</w:t>
            </w:r>
          </w:p>
        </w:tc>
        <w:tc>
          <w:tcPr>
            <w:tcW w:w="1400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K_U07</w:t>
            </w:r>
          </w:p>
        </w:tc>
      </w:tr>
      <w:tr w:rsidR="005754A4" w:rsidRPr="00D90819">
        <w:trPr>
          <w:cantSplit/>
        </w:trPr>
        <w:tc>
          <w:tcPr>
            <w:tcW w:w="908" w:type="dxa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5754A4" w:rsidRPr="00D90819" w:rsidRDefault="005754A4" w:rsidP="00570245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Student posiada umiejętność rzeczowego wyjaśnienia i uzasadnienia formułowanych przez siebie wniosków w oparciu o przyswojoną wiedzę z zakresu teorii kultury popularnej.</w:t>
            </w:r>
          </w:p>
        </w:tc>
        <w:tc>
          <w:tcPr>
            <w:tcW w:w="1400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K_U08</w:t>
            </w:r>
          </w:p>
        </w:tc>
      </w:tr>
      <w:tr w:rsidR="005754A4" w:rsidRPr="00D90819">
        <w:trPr>
          <w:cantSplit/>
        </w:trPr>
        <w:tc>
          <w:tcPr>
            <w:tcW w:w="908" w:type="dxa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5754A4" w:rsidRPr="00D90819" w:rsidRDefault="005754A4" w:rsidP="00A85891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Student potrafi krytycznie weryfikować i przeformułowywać swoje stanowiska i sądy, mając świadomość złożoności problematyki badań nad literaturą i kulturą popularną.</w:t>
            </w:r>
          </w:p>
        </w:tc>
        <w:tc>
          <w:tcPr>
            <w:tcW w:w="1400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K_K04</w:t>
            </w:r>
          </w:p>
        </w:tc>
      </w:tr>
      <w:tr w:rsidR="005754A4" w:rsidRPr="00D90819">
        <w:trPr>
          <w:cantSplit/>
        </w:trPr>
        <w:tc>
          <w:tcPr>
            <w:tcW w:w="908" w:type="dxa"/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gridSpan w:val="5"/>
            <w:tcBorders>
              <w:bottom w:val="nil"/>
              <w:right w:val="nil"/>
            </w:tcBorders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gridSpan w:val="5"/>
            <w:tcBorders>
              <w:bottom w:val="single" w:sz="12" w:space="0" w:color="auto"/>
              <w:right w:val="nil"/>
            </w:tcBorders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5754A4" w:rsidRPr="00D90819" w:rsidRDefault="005754A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Wyjaśnienie pojęć kultura masowa i popularna.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Charakterystyka współczesnych teorii kultury popularnej.</w:t>
            </w:r>
          </w:p>
          <w:p w:rsidR="005754A4" w:rsidRPr="00BD6713" w:rsidRDefault="005754A4" w:rsidP="00584071">
            <w:pPr>
              <w:pStyle w:val="HTMLPreformatted"/>
              <w:rPr>
                <w:rFonts w:ascii="Cambria" w:hAnsi="Cambria" w:cs="Cambria"/>
                <w:sz w:val="22"/>
                <w:szCs w:val="22"/>
              </w:rPr>
            </w:pPr>
            <w:r w:rsidRPr="00BD6713">
              <w:rPr>
                <w:rFonts w:ascii="Cambria" w:hAnsi="Cambria" w:cs="Cambria"/>
                <w:sz w:val="22"/>
                <w:szCs w:val="22"/>
              </w:rPr>
              <w:t xml:space="preserve">Problem odbioru i odbiorcy kultury popularnej. Kłopoty metodologiczne (np. kwestia wartościowania, przyjemności jako kluczowej kategorii estetycznej). </w:t>
            </w:r>
          </w:p>
          <w:p w:rsidR="005754A4" w:rsidRPr="00BD6713" w:rsidRDefault="005754A4" w:rsidP="00584071">
            <w:pPr>
              <w:pStyle w:val="HTMLPreformatted"/>
              <w:rPr>
                <w:rFonts w:ascii="Cambria" w:hAnsi="Cambria" w:cs="Cambria"/>
                <w:sz w:val="22"/>
                <w:szCs w:val="22"/>
              </w:rPr>
            </w:pPr>
            <w:r w:rsidRPr="00BD6713">
              <w:rPr>
                <w:rFonts w:ascii="Cambria" w:hAnsi="Cambria" w:cs="Cambria"/>
                <w:sz w:val="22"/>
                <w:szCs w:val="22"/>
              </w:rPr>
              <w:t>Kultura popularna jako kultura gatunków.</w:t>
            </w:r>
          </w:p>
          <w:p w:rsidR="005754A4" w:rsidRPr="00BD6713" w:rsidRDefault="005754A4" w:rsidP="0036489A">
            <w:pPr>
              <w:pStyle w:val="HTMLPreformatted"/>
              <w:rPr>
                <w:rFonts w:ascii="Cambria" w:hAnsi="Cambria" w:cs="Cambria"/>
                <w:sz w:val="22"/>
                <w:szCs w:val="22"/>
              </w:rPr>
            </w:pPr>
            <w:r w:rsidRPr="00BD6713">
              <w:rPr>
                <w:rFonts w:ascii="Cambria" w:hAnsi="Cambria" w:cs="Cambria"/>
                <w:sz w:val="22"/>
                <w:szCs w:val="22"/>
              </w:rPr>
              <w:t>Literatura a kultura audiowizualna.</w:t>
            </w:r>
          </w:p>
          <w:p w:rsidR="005754A4" w:rsidRPr="00BD6713" w:rsidRDefault="005754A4" w:rsidP="0036489A">
            <w:pPr>
              <w:pStyle w:val="HTMLPreformatted"/>
              <w:rPr>
                <w:rFonts w:ascii="Cambria" w:hAnsi="Cambria" w:cs="Cambria"/>
                <w:sz w:val="22"/>
                <w:szCs w:val="22"/>
              </w:rPr>
            </w:pPr>
            <w:r w:rsidRPr="00BD6713">
              <w:rPr>
                <w:rFonts w:ascii="Cambria" w:hAnsi="Cambria" w:cs="Cambria"/>
                <w:sz w:val="22"/>
                <w:szCs w:val="22"/>
              </w:rPr>
              <w:t>Bohaterowie kultury popularnej (studium przypadku: np. James Bond).</w:t>
            </w:r>
          </w:p>
          <w:p w:rsidR="005754A4" w:rsidRPr="00BD6713" w:rsidRDefault="005754A4" w:rsidP="0036489A">
            <w:pPr>
              <w:pStyle w:val="HTMLPreformatted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BD6713">
              <w:rPr>
                <w:rFonts w:ascii="Cambria" w:hAnsi="Cambria" w:cs="Cambria"/>
                <w:sz w:val="22"/>
                <w:szCs w:val="22"/>
              </w:rPr>
              <w:t>Kultura popularna jako forma konsumpcji i produkcji znaczeń</w:t>
            </w:r>
            <w:r w:rsidRPr="00BD6713">
              <w:rPr>
                <w:rFonts w:ascii="Cambria" w:hAnsi="Cambria" w:cs="Cambria"/>
                <w:b/>
                <w:bCs/>
                <w:sz w:val="22"/>
                <w:szCs w:val="22"/>
              </w:rPr>
              <w:t>.</w:t>
            </w:r>
          </w:p>
          <w:p w:rsidR="005754A4" w:rsidRPr="00BD6713" w:rsidRDefault="005754A4" w:rsidP="0036489A">
            <w:pPr>
              <w:pStyle w:val="HTMLPreformatted"/>
              <w:rPr>
                <w:rFonts w:ascii="Cambria" w:hAnsi="Cambria" w:cs="Cambria"/>
                <w:sz w:val="22"/>
                <w:szCs w:val="22"/>
              </w:rPr>
            </w:pPr>
            <w:r w:rsidRPr="00BD6713">
              <w:rPr>
                <w:rFonts w:ascii="Cambria" w:hAnsi="Cambria" w:cs="Cambria"/>
                <w:sz w:val="22"/>
                <w:szCs w:val="22"/>
              </w:rPr>
              <w:t>Kultura telewizyjna. Paleo- i neotelewizja. Voeryzm. Infotainment.</w:t>
            </w:r>
          </w:p>
          <w:p w:rsidR="005754A4" w:rsidRPr="00D90819" w:rsidRDefault="005754A4" w:rsidP="0036489A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Kultura popularna jako kultura karnawału. Kategoria karnawalizacji. Społeczeństwo spektaklu.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5754A4" w:rsidRPr="00D90819" w:rsidRDefault="005754A4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5754A4" w:rsidRPr="00D90819" w:rsidRDefault="005754A4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5754A4" w:rsidRPr="00D9081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</w:tcBorders>
          </w:tcPr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N. Carroll,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Filozofia sztuki masowej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Gdańsk 2011.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A. Kłoskowska,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Kultura masowa. Krytyka i obrona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Warszawa 1983.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A. Martuszewska,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„Ta trzecia”. Problemy literatury popularnej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Gdańsk 1997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Słownik literatury popularnej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pod red. T. Żabskiego, Wrocław 1997.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D. Strinati,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Wprowadzenie do kultury popularnej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Poznań 1998.</w:t>
            </w:r>
          </w:p>
        </w:tc>
      </w:tr>
      <w:tr w:rsidR="005754A4" w:rsidRPr="00D90819">
        <w:tc>
          <w:tcPr>
            <w:tcW w:w="2448" w:type="dxa"/>
            <w:gridSpan w:val="3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4"/>
          </w:tcPr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J. Baudrillard, Symulacja i symulakry, Warszawa 2005.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U. Eco,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Superman w literaturze masowej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Warszawa 1996.</w:t>
            </w:r>
          </w:p>
          <w:p w:rsidR="005754A4" w:rsidRPr="00D90819" w:rsidRDefault="005754A4" w:rsidP="005F5F7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W. Godzic,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Oglądanie i inne przyjemności kultury popularnej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Kraków 1996.</w:t>
            </w:r>
          </w:p>
          <w:p w:rsidR="005754A4" w:rsidRPr="00D90819" w:rsidRDefault="005754A4" w:rsidP="005F5F7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M. Krajewski,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Kultury</w:t>
            </w:r>
            <w:r w:rsidRPr="00D90819">
              <w:rPr>
                <w:rFonts w:ascii="Cambria" w:hAnsi="Cambria" w:cs="Cambria"/>
                <w:sz w:val="22"/>
                <w:szCs w:val="22"/>
              </w:rPr>
              <w:t xml:space="preserve"> k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ultury popularnej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Poznań 2003.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M. McLuhan,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Zrozumieć media. Przedłużenie człowieka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Warszawa 2004.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Pejzaże audiowizualne: telewizja, wideo, komputer</w:t>
            </w:r>
            <w:r w:rsidRPr="00D90819">
              <w:rPr>
                <w:rFonts w:ascii="Cambria" w:hAnsi="Cambria" w:cs="Cambria"/>
                <w:sz w:val="22"/>
                <w:szCs w:val="22"/>
              </w:rPr>
              <w:t xml:space="preserve">, pod red. A. Gwoździa, Kraków 1997. 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Słownik literatury popularnej</w:t>
            </w:r>
            <w:r w:rsidRPr="00D90819">
              <w:rPr>
                <w:rFonts w:ascii="Cambria" w:hAnsi="Cambria" w:cs="Cambria"/>
                <w:sz w:val="22"/>
                <w:szCs w:val="22"/>
              </w:rPr>
              <w:t xml:space="preserve">, red. T. Żabski, wyd. 2, Wrocław 2006. </w:t>
            </w:r>
          </w:p>
          <w:p w:rsidR="005754A4" w:rsidRPr="00D90819" w:rsidRDefault="005754A4" w:rsidP="0036489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J. Storey, </w:t>
            </w:r>
            <w:r w:rsidRPr="00D90819">
              <w:rPr>
                <w:rFonts w:ascii="Cambria" w:hAnsi="Cambria" w:cs="Cambria"/>
                <w:i/>
                <w:iCs/>
                <w:sz w:val="22"/>
                <w:szCs w:val="22"/>
              </w:rPr>
              <w:t>Studia kulturowe i badania kultury popularnej. Teorie i metody</w:t>
            </w:r>
            <w:r w:rsidRPr="00D90819">
              <w:rPr>
                <w:rFonts w:ascii="Cambria" w:hAnsi="Cambria" w:cs="Cambria"/>
                <w:sz w:val="22"/>
                <w:szCs w:val="22"/>
              </w:rPr>
              <w:t>, Kraków 2003.</w:t>
            </w:r>
          </w:p>
          <w:p w:rsidR="005754A4" w:rsidRPr="00D90819" w:rsidRDefault="005754A4" w:rsidP="005F5F7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Uwaga: Prowadzący zastrzega sobie możliwość wprowadzenia innych lektur jako kontekstu do interpretacji wybranego zagadnienia lub tekstu.</w:t>
            </w:r>
          </w:p>
        </w:tc>
      </w:tr>
      <w:tr w:rsidR="005754A4" w:rsidRPr="00D90819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754A4" w:rsidRPr="00D90819" w:rsidRDefault="005754A4" w:rsidP="00E4793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 w:rsidP="00E47935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ćwiczenia audytoryjne: analiza tekstów z dyskusją/ analiza zdarzeń krytycznych (przypadków) / prezentacja tekstów kultury</w:t>
            </w:r>
          </w:p>
          <w:p w:rsidR="005754A4" w:rsidRPr="00D90819" w:rsidRDefault="005754A4" w:rsidP="00E4793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D90819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5754A4" w:rsidRPr="00D908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Kolokwium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5754A4" w:rsidRPr="00D90819" w:rsidRDefault="005754A4" w:rsidP="004E3E1D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01  02  03  04  05  </w:t>
            </w:r>
          </w:p>
        </w:tc>
      </w:tr>
      <w:tr w:rsidR="005754A4" w:rsidRPr="00D908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Wypowiedzi ustne studentów podczas zajęć</w:t>
            </w:r>
          </w:p>
        </w:tc>
        <w:tc>
          <w:tcPr>
            <w:tcW w:w="1800" w:type="dxa"/>
            <w:gridSpan w:val="2"/>
          </w:tcPr>
          <w:p w:rsidR="005754A4" w:rsidRPr="00D90819" w:rsidRDefault="005754A4" w:rsidP="004E3E1D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01  02  03  04  05  06</w:t>
            </w:r>
          </w:p>
        </w:tc>
      </w:tr>
      <w:tr w:rsidR="005754A4" w:rsidRPr="00D9081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Kolokwium – 80%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Aktywna postawa podczas zajęć – 20%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5754A4" w:rsidRPr="00D90819" w:rsidRDefault="005754A4" w:rsidP="008008B5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</w:tc>
      </w:tr>
      <w:tr w:rsidR="005754A4" w:rsidRPr="00D90819">
        <w:trPr>
          <w:trHeight w:val="263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Udział w ćwiczeniach audytoryjnych i laboratoryjnych</w:t>
            </w:r>
            <w:r w:rsidRPr="00D90819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30</w:t>
            </w: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D90819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8</w:t>
            </w: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D90819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10</w:t>
            </w: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  <w:gridSpan w:val="3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50</w:t>
            </w:r>
          </w:p>
        </w:tc>
      </w:tr>
      <w:tr w:rsidR="005754A4" w:rsidRPr="00D90819">
        <w:trPr>
          <w:trHeight w:val="417"/>
        </w:trPr>
        <w:tc>
          <w:tcPr>
            <w:tcW w:w="4723" w:type="dxa"/>
            <w:gridSpan w:val="4"/>
            <w:shd w:val="clear" w:color="auto" w:fill="C0C0C0"/>
          </w:tcPr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  <w:shd w:val="clear" w:color="auto" w:fill="C0C0C0"/>
          </w:tcPr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Liczba p. ECTS związana z zajęciami praktycznymi</w:t>
            </w:r>
            <w:r w:rsidRPr="00D90819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5754A4" w:rsidRPr="00D90819" w:rsidRDefault="005754A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gridSpan w:val="3"/>
            <w:shd w:val="clear" w:color="auto" w:fill="C0C0C0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(30+8+10=48)</w:t>
            </w:r>
          </w:p>
          <w:p w:rsidR="005754A4" w:rsidRPr="00D90819" w:rsidRDefault="005754A4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1,9</w:t>
            </w:r>
            <w:r w:rsidRPr="00D90819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ECTS</w:t>
            </w:r>
          </w:p>
        </w:tc>
      </w:tr>
      <w:tr w:rsidR="005754A4" w:rsidRPr="00D90819">
        <w:trPr>
          <w:trHeight w:val="262"/>
        </w:trPr>
        <w:tc>
          <w:tcPr>
            <w:tcW w:w="4723" w:type="dxa"/>
            <w:gridSpan w:val="4"/>
            <w:tcBorders>
              <w:bottom w:val="single" w:sz="12" w:space="0" w:color="auto"/>
            </w:tcBorders>
            <w:shd w:val="clear" w:color="auto" w:fill="C0C0C0"/>
          </w:tcPr>
          <w:p w:rsidR="005754A4" w:rsidRPr="00D90819" w:rsidRDefault="005754A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90819">
              <w:rPr>
                <w:rFonts w:ascii="Cambria" w:hAnsi="Cambria" w:cs="Cambria"/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(30+2=32)</w:t>
            </w:r>
          </w:p>
          <w:p w:rsidR="005754A4" w:rsidRPr="00D90819" w:rsidRDefault="005754A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1,3</w:t>
            </w:r>
            <w:r w:rsidRPr="00D90819">
              <w:rPr>
                <w:rFonts w:ascii="Cambria" w:hAnsi="Cambria" w:cs="Cambria"/>
                <w:sz w:val="22"/>
                <w:szCs w:val="22"/>
              </w:rPr>
              <w:t xml:space="preserve"> ECTS</w:t>
            </w:r>
          </w:p>
        </w:tc>
      </w:tr>
    </w:tbl>
    <w:p w:rsidR="005754A4" w:rsidRPr="00D90819" w:rsidRDefault="005754A4">
      <w:pPr>
        <w:pStyle w:val="Default"/>
        <w:rPr>
          <w:rFonts w:ascii="Cambria" w:hAnsi="Cambria" w:cs="Cambria"/>
          <w:sz w:val="22"/>
          <w:szCs w:val="22"/>
        </w:rPr>
      </w:pPr>
    </w:p>
    <w:sectPr w:rsidR="005754A4" w:rsidRPr="00D90819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4A4" w:rsidRDefault="005754A4">
      <w:r>
        <w:separator/>
      </w:r>
    </w:p>
  </w:endnote>
  <w:endnote w:type="continuationSeparator" w:id="0">
    <w:p w:rsidR="005754A4" w:rsidRDefault="00575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4A4" w:rsidRDefault="005754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54A4" w:rsidRDefault="005754A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4A4" w:rsidRDefault="005754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754A4" w:rsidRDefault="005754A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4A4" w:rsidRDefault="005754A4">
      <w:r>
        <w:separator/>
      </w:r>
    </w:p>
  </w:footnote>
  <w:footnote w:type="continuationSeparator" w:id="0">
    <w:p w:rsidR="005754A4" w:rsidRDefault="005754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8FF00AE"/>
    <w:multiLevelType w:val="hybridMultilevel"/>
    <w:tmpl w:val="06AAF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5"/>
  </w:num>
  <w:num w:numId="16">
    <w:abstractNumId w:val="6"/>
  </w:num>
  <w:num w:numId="17">
    <w:abstractNumId w:val="18"/>
  </w:num>
  <w:num w:numId="18">
    <w:abstractNumId w:val="17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14288"/>
    <w:rsid w:val="00054A4F"/>
    <w:rsid w:val="0009065D"/>
    <w:rsid w:val="00122F03"/>
    <w:rsid w:val="00163A08"/>
    <w:rsid w:val="001B1FE0"/>
    <w:rsid w:val="001F010F"/>
    <w:rsid w:val="002354D6"/>
    <w:rsid w:val="00295838"/>
    <w:rsid w:val="002A2CBA"/>
    <w:rsid w:val="0036489A"/>
    <w:rsid w:val="003C0ED5"/>
    <w:rsid w:val="00433C2C"/>
    <w:rsid w:val="0049796F"/>
    <w:rsid w:val="004B7D8E"/>
    <w:rsid w:val="004C50BA"/>
    <w:rsid w:val="004E3E1D"/>
    <w:rsid w:val="00506F54"/>
    <w:rsid w:val="005103B0"/>
    <w:rsid w:val="00531B7B"/>
    <w:rsid w:val="00561E05"/>
    <w:rsid w:val="00570245"/>
    <w:rsid w:val="005754A4"/>
    <w:rsid w:val="00584071"/>
    <w:rsid w:val="005F5F7D"/>
    <w:rsid w:val="00634CD8"/>
    <w:rsid w:val="00657EAD"/>
    <w:rsid w:val="007D09E6"/>
    <w:rsid w:val="007F0545"/>
    <w:rsid w:val="007F0A2C"/>
    <w:rsid w:val="008008B5"/>
    <w:rsid w:val="00812EFD"/>
    <w:rsid w:val="008266B5"/>
    <w:rsid w:val="008827BE"/>
    <w:rsid w:val="00891FD6"/>
    <w:rsid w:val="008B1B4D"/>
    <w:rsid w:val="008B7825"/>
    <w:rsid w:val="009011C2"/>
    <w:rsid w:val="00994C1B"/>
    <w:rsid w:val="009F5B26"/>
    <w:rsid w:val="00A37B48"/>
    <w:rsid w:val="00A85891"/>
    <w:rsid w:val="00AE5CCF"/>
    <w:rsid w:val="00B37F8D"/>
    <w:rsid w:val="00B46E0F"/>
    <w:rsid w:val="00BC35A1"/>
    <w:rsid w:val="00BD6713"/>
    <w:rsid w:val="00BF0F94"/>
    <w:rsid w:val="00C95D69"/>
    <w:rsid w:val="00CD7DD3"/>
    <w:rsid w:val="00D2313B"/>
    <w:rsid w:val="00D2749A"/>
    <w:rsid w:val="00D845A0"/>
    <w:rsid w:val="00D90819"/>
    <w:rsid w:val="00D957CF"/>
    <w:rsid w:val="00DB06C1"/>
    <w:rsid w:val="00DD062C"/>
    <w:rsid w:val="00E47935"/>
    <w:rsid w:val="00ED3C91"/>
    <w:rsid w:val="00EF0FB2"/>
    <w:rsid w:val="00F160ED"/>
    <w:rsid w:val="00F85CC4"/>
    <w:rsid w:val="00FC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9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49A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749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2749A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2749A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2749A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2749A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290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290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290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290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290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901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D2749A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2749A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82901"/>
    <w:rPr>
      <w:sz w:val="20"/>
      <w:szCs w:val="20"/>
    </w:rPr>
  </w:style>
  <w:style w:type="paragraph" w:styleId="NormalWeb">
    <w:name w:val="Normal (Web)"/>
    <w:basedOn w:val="Normal"/>
    <w:uiPriority w:val="99"/>
    <w:rsid w:val="00D2749A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D2749A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82901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749A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82901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2749A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98290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D2749A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2901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D2749A"/>
  </w:style>
  <w:style w:type="paragraph" w:styleId="Footer">
    <w:name w:val="footer"/>
    <w:basedOn w:val="Normal"/>
    <w:link w:val="FooterChar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2901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D2749A"/>
  </w:style>
  <w:style w:type="paragraph" w:styleId="Subtitle">
    <w:name w:val="Subtitle"/>
    <w:basedOn w:val="Normal"/>
    <w:link w:val="SubtitleChar"/>
    <w:uiPriority w:val="99"/>
    <w:qFormat/>
    <w:rsid w:val="00D2749A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982901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D2749A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D2749A"/>
  </w:style>
  <w:style w:type="paragraph" w:styleId="HTMLPreformatted">
    <w:name w:val="HTML Preformatted"/>
    <w:basedOn w:val="Normal"/>
    <w:link w:val="HTMLPreformattedChar"/>
    <w:uiPriority w:val="99"/>
    <w:rsid w:val="00584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4071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725</Words>
  <Characters>4350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2012-09-19T16:52:00Z</cp:lastPrinted>
  <dcterms:created xsi:type="dcterms:W3CDTF">2012-09-19T16:52:00Z</dcterms:created>
  <dcterms:modified xsi:type="dcterms:W3CDTF">2012-09-19T16:52:00Z</dcterms:modified>
</cp:coreProperties>
</file>